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30" w:after="3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Психолого-педагогическое просвещение как фактор социального успеха педагога</w:t>
      </w:r>
    </w:p>
    <w:p>
      <w:pPr>
        <w:pStyle w:val="style0"/>
        <w:spacing w:before="30" w:after="3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spacing w:before="30" w:after="30"/>
        <w:ind w:left="4200" w:leftChars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               Абдрахманова Айслу Асановна</w:t>
      </w:r>
    </w:p>
    <w:p>
      <w:pPr>
        <w:pStyle w:val="style0"/>
        <w:spacing w:before="30" w:after="3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  учитель начальных классов</w:t>
      </w:r>
    </w:p>
    <w:p>
      <w:pPr>
        <w:pStyle w:val="style0"/>
        <w:spacing w:before="30" w:after="30"/>
        <w:jc w:val="both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ФГБОУ ВО «ЧелГУ»</w:t>
      </w:r>
    </w:p>
    <w:p>
      <w:pPr>
        <w:pStyle w:val="style0"/>
        <w:spacing w:before="30" w:after="3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   Костанай</w:t>
      </w:r>
    </w:p>
    <w:p>
      <w:pPr>
        <w:pStyle w:val="style0"/>
        <w:spacing w:before="30" w:after="3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Аннотация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данной статье рассматривается роль психолого-педагогического просвещения в достижении социального успеха педагогов. Проанализированы основные компоненты успешной профессиональной деятельности педагога, взаимосвязь психолого-педагогической подготовки с формированием позитивного имиджа и профессионального авторитета. </w:t>
      </w:r>
      <w:r>
        <w:rPr>
          <w:rFonts w:ascii="Times New Roman" w:cs="Times New Roman" w:hAnsi="Times New Roman"/>
          <w:sz w:val="28"/>
          <w:szCs w:val="28"/>
        </w:rPr>
        <w:t>Особое внимание уделено описанию и анализу существующих программ психолого-педагогического просвещения, действующих в образовательной среде.</w:t>
      </w:r>
      <w:r>
        <w:rPr>
          <w:lang w:val="kk-KZ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Приведены современные методики оценки эффективности просветительских программ, предложены практические рекомендации по их совершенствованию.</w:t>
      </w:r>
      <w:r>
        <w:rPr>
          <w:rFonts w:ascii="Times New Roman" w:cs="Times New Roman" w:hAnsi="Times New Roman"/>
          <w:sz w:val="28"/>
          <w:szCs w:val="28"/>
        </w:rPr>
        <w:t xml:space="preserve"> Рассмотрены основные барьеры, препятствующие успешному просвещению педагогов, и пути их преодоления.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Ключевые слова:</w:t>
      </w:r>
      <w:r>
        <w:rPr>
          <w:rFonts w:ascii="Times New Roman" w:cs="Times New Roman" w:hAnsi="Times New Roman"/>
          <w:sz w:val="28"/>
          <w:szCs w:val="28"/>
        </w:rPr>
        <w:t xml:space="preserve"> психолого-педагогическое просвещение, социальный успех, профессиональная компетентность, педагогический имидж, развитие педагогов.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Современная система образования предъявляет высокие требования к уровню профессионализма педагогов, их личностным и профессиональным качествам. Психолого-педагогическое просвещение становится важным фактором, способствующим социальной успешности педагога, его профессиональному росту и формированию авторитета среди коллег, учеников и родителей. Однако недостаточная проработанность механизмов оценки эффективности таких </w:t>
      </w:r>
      <w:r>
        <w:rPr>
          <w:rFonts w:ascii="Times New Roman" w:cs="Times New Roman" w:hAnsi="Times New Roman"/>
          <w:sz w:val="28"/>
          <w:szCs w:val="28"/>
        </w:rPr>
        <w:t xml:space="preserve">программ </w:t>
      </w:r>
      <w:r>
        <w:rPr>
          <w:rStyle w:val="style87"/>
        </w:rPr>
        <w:t>в частности</w:t>
      </w:r>
      <w:r>
        <w:rPr>
          <w:rStyle w:val="style87"/>
        </w:rPr>
        <w:t>, курсов повышения квалификации и тренингов, направленных на развитие педагогических, коммуникативных и личностных компетенций</w:t>
      </w:r>
      <w:r>
        <w:t xml:space="preserve"> </w:t>
      </w:r>
      <w:r>
        <w:rPr>
          <w:rFonts w:ascii="Times New Roman" w:cs="Times New Roman" w:hAnsi="Times New Roman"/>
          <w:sz w:val="28"/>
          <w:szCs w:val="28"/>
        </w:rPr>
        <w:t>и отсутствие системного подхода к их реализации часто становятся препятствием на пути достижения этих целей.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Психолого-педагогическое просвещение направлено на формирование у педагогов необходимых компетенций, позволяющих им эффективно взаимодействовать с обучающимися, родителями и коллегами. Оно способствует повышению уровня рефлексии, осознанию профессиональных целей и личностному развитию. Исследования показывают, что педагоги, прошедшие курсы повышения квалификации, обладают более высоким уровнем мотивации, уверенностью в своих силах и готовностью применять инновационные методы в образовательном процессе [</w:t>
      </w:r>
      <w:r>
        <w:rPr>
          <w:rFonts w:ascii="Times New Roman" w:cs="Times New Roman" w:hAnsi="Times New Roman"/>
          <w:sz w:val="28"/>
          <w:szCs w:val="28"/>
          <w:lang w:val="kk-KZ"/>
        </w:rPr>
        <w:t>1, с.45</w:t>
      </w:r>
      <w:r>
        <w:rPr>
          <w:rFonts w:ascii="Times New Roman" w:cs="Times New Roman" w:hAnsi="Times New Roman"/>
          <w:sz w:val="28"/>
          <w:szCs w:val="28"/>
        </w:rPr>
        <w:t>].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Кроме того, психолого-педагогическое просвещение способствует формированию позитивного профессионального имиджа педагога, что играет </w:t>
      </w:r>
      <w:r>
        <w:rPr>
          <w:rFonts w:ascii="Times New Roman" w:cs="Times New Roman" w:hAnsi="Times New Roman"/>
          <w:sz w:val="28"/>
          <w:szCs w:val="28"/>
        </w:rPr>
        <w:t xml:space="preserve">ключевую роль в его социальной успешности. </w:t>
      </w:r>
      <w:r>
        <w:rPr>
          <w:rStyle w:val="style87"/>
        </w:rPr>
        <w:t xml:space="preserve">азвитие таких качеств, как эмоциональный интеллект, стрессоустойчивость, уверенность в коммуникации, позволяет педагогу быть более гибким и авторитетным в профессиональной </w:t>
      </w:r>
      <w:r>
        <w:rPr>
          <w:rStyle w:val="style87"/>
        </w:rPr>
        <w:t>среде</w:t>
      </w:r>
      <w: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[</w:t>
      </w:r>
      <w:r>
        <w:rPr>
          <w:rFonts w:ascii="Times New Roman" w:cs="Times New Roman" w:hAnsi="Times New Roman"/>
          <w:sz w:val="28"/>
          <w:szCs w:val="28"/>
          <w:lang w:val="kk-KZ"/>
        </w:rPr>
        <w:t>2, с.68</w:t>
      </w:r>
      <w:r>
        <w:rPr>
          <w:rFonts w:ascii="Times New Roman" w:cs="Times New Roman" w:hAnsi="Times New Roman"/>
          <w:sz w:val="28"/>
          <w:szCs w:val="28"/>
        </w:rPr>
        <w:t>].</w:t>
      </w:r>
    </w:p>
    <w:p>
      <w:pPr>
        <w:pStyle w:val="style0"/>
        <w:spacing w:before="30" w:after="30"/>
        <w:ind w:firstLine="720"/>
        <w:jc w:val="both"/>
        <w:rPr/>
      </w:pPr>
      <w:r>
        <w:rPr>
          <w:rStyle w:val="style87"/>
        </w:rPr>
        <w:t>Для оценки эффективности просветительских программ применяются различные методы</w:t>
      </w:r>
      <w:r>
        <w:t>, среди которых: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Анализ успеваемости обучающихся</w:t>
      </w:r>
      <w:r>
        <w:rPr>
          <w:rFonts w:ascii="Times New Roman" w:cs="Times New Roman" w:hAnsi="Times New Roman"/>
          <w:sz w:val="28"/>
          <w:szCs w:val="28"/>
        </w:rPr>
        <w:t> – изучение результатов тестирования и наблюдение за их прогрессом после участия педагога в программах повышения квалификации.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Анкетирование и тестирование педагогов</w:t>
      </w:r>
      <w:r>
        <w:rPr>
          <w:rFonts w:ascii="Times New Roman" w:cs="Times New Roman" w:hAnsi="Times New Roman"/>
          <w:sz w:val="28"/>
          <w:szCs w:val="28"/>
        </w:rPr>
        <w:t> – позволяет определить уровень усвоенных знаний и степень их применения на практике.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Оценка педагогической практики</w:t>
      </w:r>
      <w:r>
        <w:rPr>
          <w:rFonts w:ascii="Times New Roman" w:cs="Times New Roman" w:hAnsi="Times New Roman"/>
          <w:sz w:val="28"/>
          <w:szCs w:val="28"/>
        </w:rPr>
        <w:t> – анализ изменений в методах преподавания после завершения обучения.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Обратная связь от коллег и учеников</w:t>
      </w:r>
      <w:r>
        <w:rPr>
          <w:rFonts w:ascii="Times New Roman" w:cs="Times New Roman" w:hAnsi="Times New Roman"/>
          <w:sz w:val="28"/>
          <w:szCs w:val="28"/>
        </w:rPr>
        <w:t> – важный показатель профессионального имиджа педагога [</w:t>
      </w:r>
      <w:r>
        <w:rPr>
          <w:rFonts w:ascii="Times New Roman" w:cs="Times New Roman" w:hAnsi="Times New Roman"/>
          <w:sz w:val="28"/>
          <w:szCs w:val="28"/>
          <w:lang w:val="kk-KZ"/>
        </w:rPr>
        <w:t>3, с.89</w:t>
      </w:r>
      <w:r>
        <w:rPr>
          <w:rFonts w:ascii="Times New Roman" w:cs="Times New Roman" w:hAnsi="Times New Roman"/>
          <w:sz w:val="28"/>
          <w:szCs w:val="28"/>
        </w:rPr>
        <w:t>].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Наиболее эффективными считаются комплексные программы, включающие в себя не только теоретическое обучение, но и практические занятия, супервизию и наставничество [</w:t>
      </w:r>
      <w:r>
        <w:rPr>
          <w:rFonts w:ascii="Times New Roman" w:cs="Times New Roman" w:hAnsi="Times New Roman"/>
          <w:sz w:val="28"/>
          <w:szCs w:val="28"/>
          <w:lang w:val="kk-KZ"/>
        </w:rPr>
        <w:t>4, с.37</w:t>
      </w:r>
      <w:r>
        <w:rPr>
          <w:rFonts w:ascii="Times New Roman" w:cs="Times New Roman" w:hAnsi="Times New Roman"/>
          <w:sz w:val="28"/>
          <w:szCs w:val="28"/>
        </w:rPr>
        <w:t>].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Несмотря на значимость психолого-педагогического просвещения, существуют определенные препятствия на пути его реализации:</w:t>
      </w:r>
      <w:r>
        <w:rPr>
          <w:rFonts w:ascii="Times New Roman" w:cs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</w:rPr>
        <w:t>Низкая мотивация педагогов</w:t>
      </w:r>
      <w:r>
        <w:rPr>
          <w:rFonts w:ascii="Times New Roman" w:cs="Times New Roman" w:hAnsi="Times New Roman"/>
          <w:sz w:val="28"/>
          <w:szCs w:val="28"/>
        </w:rPr>
        <w:t> – связано с отсутствием материального или морального стимулирования.</w:t>
      </w:r>
      <w:r>
        <w:rPr>
          <w:rFonts w:ascii="Times New Roman" w:cs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</w:rPr>
        <w:t>Недостаточная поддержка со стороны администрации образовательных учреждений</w:t>
      </w:r>
      <w:r>
        <w:rPr>
          <w:rFonts w:ascii="Times New Roman" w:cs="Times New Roman" w:hAnsi="Times New Roman"/>
          <w:sz w:val="28"/>
          <w:szCs w:val="28"/>
        </w:rPr>
        <w:t> – ограниченные ресурсы и нехватка времени на прохождение программ повышения квалификации.</w:t>
      </w:r>
      <w:r>
        <w:rPr>
          <w:rFonts w:ascii="Times New Roman" w:cs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</w:rPr>
        <w:t>Неравномерный доступ к образовательным ресурсам</w:t>
      </w:r>
      <w:r>
        <w:rPr>
          <w:rFonts w:ascii="Times New Roman" w:cs="Times New Roman" w:hAnsi="Times New Roman"/>
          <w:sz w:val="28"/>
          <w:szCs w:val="28"/>
        </w:rPr>
        <w:t> – в небольших населенных пунктах доступ к современным курсам и технологиям может быть затруднен [</w:t>
      </w:r>
      <w:r>
        <w:rPr>
          <w:rFonts w:ascii="Times New Roman" w:cs="Times New Roman" w:hAnsi="Times New Roman"/>
          <w:sz w:val="28"/>
          <w:szCs w:val="28"/>
          <w:lang w:val="kk-KZ"/>
        </w:rPr>
        <w:t>5, с.19</w:t>
      </w:r>
      <w:r>
        <w:rPr>
          <w:rFonts w:ascii="Times New Roman" w:cs="Times New Roman" w:hAnsi="Times New Roman"/>
          <w:sz w:val="28"/>
          <w:szCs w:val="28"/>
        </w:rPr>
        <w:t>].</w:t>
      </w:r>
    </w:p>
    <w:p>
      <w:pPr>
        <w:pStyle w:val="style94"/>
        <w:jc w:val="both"/>
        <w:rPr>
          <w:sz w:val="28"/>
          <w:szCs w:val="28"/>
        </w:rPr>
      </w:pPr>
      <w:r>
        <w:rPr>
          <w:sz w:val="28"/>
          <w:szCs w:val="28"/>
        </w:rPr>
        <w:t>Для преодоления этих препятствий необходимо</w:t>
      </w:r>
      <w:r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Разрабатывать</w:t>
      </w:r>
      <w:r>
        <w:rPr>
          <w:sz w:val="28"/>
          <w:szCs w:val="28"/>
        </w:rPr>
        <w:t xml:space="preserve"> адаптированные программы с учетом индивидуальных потребностей педагогов;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Использовать цифровые технологии для дистанционного обучения;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Внедрять эффективные механизмы мотивации, способствующие активному участию педагогов в образовательных программах, включая систему моральных и материальных поощрений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[</w:t>
      </w:r>
      <w:r>
        <w:rPr>
          <w:sz w:val="28"/>
          <w:szCs w:val="28"/>
          <w:lang w:val="kk-KZ"/>
        </w:rPr>
        <w:t>6, с.55</w:t>
      </w:r>
      <w:r>
        <w:rPr>
          <w:sz w:val="28"/>
          <w:szCs w:val="28"/>
        </w:rPr>
        <w:t>].</w:t>
      </w:r>
      <w:r>
        <w:rPr>
          <w:sz w:val="28"/>
          <w:szCs w:val="28"/>
        </w:rPr>
        <w:t xml:space="preserve">  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Психолого-педагогическое просвещение играет важную роль в формировании социального успеха педагога, повышении его профессионального имиджа и авторитета в образовательной среде. Развитие систем оценки эффективности таких программ, устранение существующих барьеров и внедрение современных образовательных технологий позволит значительно повысить качество педагогического труда. Важную роль играет комплексный подход, включающий теоретическое и практическое обучение, наставничество и постоянную поддержку со стороны образовательного сообщества.</w:t>
      </w: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before="30" w:after="30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Список литературы:</w:t>
      </w:r>
    </w:p>
    <w:p>
      <w:pPr>
        <w:pStyle w:val="style0"/>
        <w:numPr>
          <w:ilvl w:val="0"/>
          <w:numId w:val="1"/>
        </w:numPr>
        <w:spacing w:before="30" w:after="30"/>
        <w:ind w:lef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Иванов А.В. Психолого-педагогическое просвещение как инструмент профессионального роста педагога // Вопросы педагогики. — 2020. — №5. — С. 45-52.</w:t>
      </w:r>
    </w:p>
    <w:p>
      <w:pPr>
        <w:pStyle w:val="style0"/>
        <w:numPr>
          <w:ilvl w:val="0"/>
          <w:numId w:val="1"/>
        </w:numPr>
        <w:spacing w:before="30" w:after="30"/>
        <w:ind w:lef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Петрова Л.А. Формирование профессионального имиджа педагога в системе повышения квалификации // Современные образовательные технологии. — 2021. — №3. — С. 68-75.</w:t>
      </w:r>
    </w:p>
    <w:p>
      <w:pPr>
        <w:pStyle w:val="style0"/>
        <w:numPr>
          <w:ilvl w:val="0"/>
          <w:numId w:val="1"/>
        </w:numPr>
        <w:spacing w:before="30" w:after="30"/>
        <w:ind w:lef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Сидоров В.В. Методы оценки эффективности программ педагогического просвещения // Психология и образование. — 2019. — №6. — С. 89-95.</w:t>
      </w:r>
    </w:p>
    <w:p>
      <w:pPr>
        <w:pStyle w:val="style0"/>
        <w:numPr>
          <w:ilvl w:val="0"/>
          <w:numId w:val="1"/>
        </w:numPr>
        <w:spacing w:before="30" w:after="30"/>
        <w:ind w:lef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Орлова Т.М. Наставничество как элемент профессионального развития педагогов // Образовательные инновации. — 2021. — №4. — С. 37-44.</w:t>
      </w:r>
    </w:p>
    <w:p>
      <w:pPr>
        <w:pStyle w:val="style0"/>
        <w:numPr>
          <w:ilvl w:val="0"/>
          <w:numId w:val="1"/>
        </w:numPr>
        <w:spacing w:before="30" w:after="30"/>
        <w:ind w:lef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Кузнецова Е.М. Дистанционные технологии в психолого-педагогическом просвещении педагогов // Педагогика и практика. — 2022. — №7. — С. 19-26.</w:t>
      </w:r>
    </w:p>
    <w:p>
      <w:pPr>
        <w:pStyle w:val="style0"/>
        <w:numPr>
          <w:ilvl w:val="0"/>
          <w:numId w:val="1"/>
        </w:numPr>
        <w:spacing w:before="30" w:after="30"/>
        <w:ind w:lef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Николаев И.П. Современные цифровые технологии в образовательном процессе // Научные исследования в образовании. — 2023. — №2. — С. 55-63.</w:t>
      </w:r>
    </w:p>
    <w:p>
      <w:pPr>
        <w:pStyle w:val="style0"/>
        <w:spacing w:before="30" w:after="30"/>
        <w:jc w:val="both"/>
        <w:rPr>
          <w:rFonts w:ascii="Times New Roman" w:cs="Times New Roman" w:hAnsi="Times New Roman"/>
          <w:sz w:val="28"/>
          <w:szCs w:val="28"/>
        </w:rPr>
      </w:pPr>
    </w:p>
    <w:sectPr>
      <w:pgSz w:w="11906" w:h="16838" w:orient="portrait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D99AA8E0"/>
    <w:lvl w:ilvl="0">
      <w:start w:val="3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multilevel"/>
    <w:tmpl w:val="F78405BE"/>
    <w:lvl w:ilvl="0">
      <w:start w:val="4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14847B2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32C8A9F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7200"/>
        </w:tabs>
        <w:ind w:left="7200" w:hanging="360"/>
      </w:pPr>
    </w:lvl>
  </w:abstractNum>
  <w:abstractNum w:abstractNumId="4">
    <w:nsid w:val="00000004"/>
    <w:multiLevelType w:val="multilevel"/>
    <w:tmpl w:val="49B888B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DE7A871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multilevel"/>
    <w:tmpl w:val="7D3CCAB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000007"/>
    <w:multiLevelType w:val="multilevel"/>
    <w:tmpl w:val="278ECBD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multilevel"/>
    <w:tmpl w:val="7B86450C"/>
    <w:lvl w:ilvl="0">
      <w:start w:val="5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multilevel"/>
    <w:tmpl w:val="166A50B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0000000A"/>
    <w:multiLevelType w:val="multilevel"/>
    <w:tmpl w:val="1ACA38A8"/>
    <w:lvl w:ilvl="0">
      <w:start w:val="2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1">
    <w:nsid w:val="0000000B"/>
    <w:multiLevelType w:val="multilevel"/>
    <w:tmpl w:val="A43E59F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multilevel"/>
    <w:tmpl w:val="25C6956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000000D"/>
    <w:multiLevelType w:val="multilevel"/>
    <w:tmpl w:val="3DE49EF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4">
    <w:nsid w:val="0000000E"/>
    <w:multiLevelType w:val="multilevel"/>
    <w:tmpl w:val="A83EFE1E"/>
    <w:lvl w:ilvl="0">
      <w:start w:val="3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5">
    <w:nsid w:val="0000000F"/>
    <w:multiLevelType w:val="multilevel"/>
    <w:tmpl w:val="CA36FC04"/>
    <w:lvl w:ilvl="0">
      <w:start w:val="4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multilevel"/>
    <w:tmpl w:val="73B2F644"/>
    <w:lvl w:ilvl="0">
      <w:start w:val="2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7">
    <w:nsid w:val="00000011"/>
    <w:multiLevelType w:val="multilevel"/>
    <w:tmpl w:val="E480ABA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8">
    <w:nsid w:val="00000012"/>
    <w:multiLevelType w:val="multilevel"/>
    <w:tmpl w:val="BED0ACA0"/>
    <w:lvl w:ilvl="0">
      <w:start w:val="3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9">
    <w:nsid w:val="00000013"/>
    <w:multiLevelType w:val="multilevel"/>
    <w:tmpl w:val="339C761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00000014"/>
    <w:multiLevelType w:val="multilevel"/>
    <w:tmpl w:val="BF6C3D9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00000015"/>
    <w:multiLevelType w:val="multilevel"/>
    <w:tmpl w:val="EE4A51D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2">
    <w:nsid w:val="00000016"/>
    <w:multiLevelType w:val="multilevel"/>
    <w:tmpl w:val="F532115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0"/>
  </w:num>
  <w:num w:numId="5">
    <w:abstractNumId w:val="4"/>
  </w:num>
  <w:num w:numId="6">
    <w:abstractNumId w:val="15"/>
  </w:num>
  <w:num w:numId="7">
    <w:abstractNumId w:val="20"/>
  </w:num>
  <w:num w:numId="8">
    <w:abstractNumId w:val="8"/>
  </w:num>
  <w:num w:numId="9">
    <w:abstractNumId w:val="6"/>
  </w:num>
  <w:num w:numId="10">
    <w:abstractNumId w:val="11"/>
  </w:num>
  <w:num w:numId="11">
    <w:abstractNumId w:val="21"/>
  </w:num>
  <w:num w:numId="12">
    <w:abstractNumId w:val="16"/>
  </w:num>
  <w:num w:numId="13">
    <w:abstractNumId w:val="7"/>
  </w:num>
  <w:num w:numId="14">
    <w:abstractNumId w:val="18"/>
  </w:num>
  <w:num w:numId="15">
    <w:abstractNumId w:val="2"/>
  </w:num>
  <w:num w:numId="16">
    <w:abstractNumId w:val="1"/>
  </w:num>
  <w:num w:numId="17">
    <w:abstractNumId w:val="13"/>
  </w:num>
  <w:num w:numId="18">
    <w:abstractNumId w:val="3"/>
  </w:num>
  <w:num w:numId="19">
    <w:abstractNumId w:val="10"/>
  </w:num>
  <w:num w:numId="20">
    <w:abstractNumId w:val="19"/>
  </w:num>
  <w:num w:numId="21">
    <w:abstractNumId w:val="14"/>
  </w:num>
  <w:num w:numId="22">
    <w:abstractNumId w:val="9"/>
  </w:num>
  <w:num w:numId="23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99628-8C3F-4428-B856-89EFE68F0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608</Words>
  <Pages>3</Pages>
  <Characters>5018</Characters>
  <Application>WPS Office</Application>
  <DocSecurity>0</DocSecurity>
  <Paragraphs>32</Paragraphs>
  <ScaleCrop>false</ScaleCrop>
  <LinksUpToDate>false</LinksUpToDate>
  <CharactersWithSpaces>5947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2025-09-08T14:37:34Z</dcterms:created>
  <dc:creator>Айсулу</dc:creator>
  <lastModifiedBy>SM-S918B</lastModifiedBy>
  <dcterms:modified xsi:type="dcterms:W3CDTF">2025-09-08T14:37:34Z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3f401d2d1bd1420687e59b2a43f0904d</vt:lpwstr>
  </property>
</Properties>
</file>