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6C" w:rsidRPr="003B077F" w:rsidRDefault="003B077F" w:rsidP="003B077F">
      <w:pPr>
        <w:spacing w:line="360" w:lineRule="auto"/>
        <w:jc w:val="center"/>
        <w:rPr>
          <w:b/>
        </w:rPr>
      </w:pPr>
      <w:r w:rsidRPr="003B077F">
        <w:rPr>
          <w:b/>
          <w:noProof/>
        </w:rPr>
        <w:t xml:space="preserve">ДИАГНОСТИКА </w:t>
      </w:r>
      <w:r w:rsidRPr="003B077F">
        <w:rPr>
          <w:b/>
        </w:rPr>
        <w:t xml:space="preserve"> ЭФФЕКТИВНОСТИ ИСПОЛЬЗОВАНИЯ В ОБРАЗОВАТЕЛЬНОМ ПРОЦЕССЕ ТЕХНОЛОГИЙ И МЕТОДИК, </w:t>
      </w:r>
      <w:r w:rsidRPr="003B077F">
        <w:rPr>
          <w:b/>
          <w:bCs/>
        </w:rPr>
        <w:t>ОРИЕНТИРОВАННЫХ НА ДЕЯТЕЛЬНОСТЬ</w:t>
      </w:r>
    </w:p>
    <w:p w:rsidR="00A461E2" w:rsidRPr="00A461E2" w:rsidRDefault="00A461E2" w:rsidP="00A461E2">
      <w:pPr>
        <w:jc w:val="center"/>
        <w:rPr>
          <w:b/>
        </w:rPr>
      </w:pPr>
    </w:p>
    <w:p w:rsidR="00A461E2" w:rsidRPr="00AE6FAD" w:rsidRDefault="0029756C" w:rsidP="00A461E2">
      <w:pPr>
        <w:spacing w:line="360" w:lineRule="auto"/>
        <w:jc w:val="both"/>
        <w:rPr>
          <w:sz w:val="27"/>
          <w:szCs w:val="27"/>
        </w:rPr>
      </w:pPr>
      <w:r w:rsidRPr="00AE6FAD">
        <w:rPr>
          <w:sz w:val="27"/>
          <w:szCs w:val="27"/>
        </w:rPr>
        <w:t>В своей профессиональной деятельности использую</w:t>
      </w:r>
      <w:r w:rsidR="00D642CB" w:rsidRPr="00AE6FAD">
        <w:rPr>
          <w:sz w:val="27"/>
          <w:szCs w:val="27"/>
        </w:rPr>
        <w:t xml:space="preserve"> </w:t>
      </w:r>
      <w:r w:rsidR="00D642CB" w:rsidRPr="00AE6FAD">
        <w:rPr>
          <w:b/>
          <w:sz w:val="27"/>
          <w:szCs w:val="27"/>
        </w:rPr>
        <w:t>технологи</w:t>
      </w:r>
      <w:r w:rsidRPr="00AE6FAD">
        <w:rPr>
          <w:b/>
          <w:sz w:val="27"/>
          <w:szCs w:val="27"/>
        </w:rPr>
        <w:t>и</w:t>
      </w:r>
      <w:r w:rsidR="00D642CB" w:rsidRPr="00AE6FAD">
        <w:rPr>
          <w:b/>
          <w:sz w:val="27"/>
          <w:szCs w:val="27"/>
        </w:rPr>
        <w:t xml:space="preserve"> и методик</w:t>
      </w:r>
      <w:r w:rsidRPr="00AE6FAD">
        <w:rPr>
          <w:b/>
          <w:sz w:val="27"/>
          <w:szCs w:val="27"/>
        </w:rPr>
        <w:t>и</w:t>
      </w:r>
      <w:r w:rsidR="00D642CB" w:rsidRPr="00AE6FAD">
        <w:rPr>
          <w:b/>
          <w:sz w:val="27"/>
          <w:szCs w:val="27"/>
        </w:rPr>
        <w:t xml:space="preserve">, </w:t>
      </w:r>
      <w:r w:rsidR="00D642CB" w:rsidRPr="00AE6FAD">
        <w:rPr>
          <w:b/>
          <w:bCs/>
          <w:sz w:val="27"/>
          <w:szCs w:val="27"/>
        </w:rPr>
        <w:t>ориентированны</w:t>
      </w:r>
      <w:r w:rsidRPr="00AE6FAD">
        <w:rPr>
          <w:b/>
          <w:bCs/>
          <w:sz w:val="27"/>
          <w:szCs w:val="27"/>
        </w:rPr>
        <w:t>е</w:t>
      </w:r>
      <w:r w:rsidR="00D642CB" w:rsidRPr="00AE6FAD">
        <w:rPr>
          <w:b/>
          <w:bCs/>
          <w:sz w:val="27"/>
          <w:szCs w:val="27"/>
        </w:rPr>
        <w:t xml:space="preserve"> на деятельность</w:t>
      </w:r>
      <w:r w:rsidR="00D642CB" w:rsidRPr="00AE6FAD">
        <w:rPr>
          <w:bCs/>
          <w:sz w:val="27"/>
          <w:szCs w:val="27"/>
        </w:rPr>
        <w:t xml:space="preserve"> как основ</w:t>
      </w:r>
      <w:r w:rsidRPr="00AE6FAD">
        <w:rPr>
          <w:bCs/>
          <w:sz w:val="27"/>
          <w:szCs w:val="27"/>
        </w:rPr>
        <w:t>у</w:t>
      </w:r>
      <w:r w:rsidR="00D642CB" w:rsidRPr="00AE6FAD">
        <w:rPr>
          <w:bCs/>
          <w:sz w:val="27"/>
          <w:szCs w:val="27"/>
        </w:rPr>
        <w:t xml:space="preserve"> реализации компетентностного подхода в профессиональном образовании.</w:t>
      </w:r>
      <w:r w:rsidR="00D642CB" w:rsidRPr="00AE6FAD">
        <w:rPr>
          <w:sz w:val="27"/>
          <w:szCs w:val="27"/>
        </w:rPr>
        <w:t xml:space="preserve">  В течение 20</w:t>
      </w:r>
      <w:r w:rsidRPr="00AE6FAD">
        <w:rPr>
          <w:sz w:val="27"/>
          <w:szCs w:val="27"/>
        </w:rPr>
        <w:t>1</w:t>
      </w:r>
      <w:r w:rsidR="0009115B" w:rsidRPr="0009115B">
        <w:rPr>
          <w:sz w:val="27"/>
          <w:szCs w:val="27"/>
        </w:rPr>
        <w:t>7</w:t>
      </w:r>
      <w:r w:rsidR="00D642CB" w:rsidRPr="00AE6FAD">
        <w:rPr>
          <w:sz w:val="27"/>
          <w:szCs w:val="27"/>
        </w:rPr>
        <w:t>-20</w:t>
      </w:r>
      <w:r w:rsidR="0009115B" w:rsidRPr="0009115B">
        <w:rPr>
          <w:sz w:val="27"/>
          <w:szCs w:val="27"/>
        </w:rPr>
        <w:t>20</w:t>
      </w:r>
      <w:r w:rsidR="00D642CB" w:rsidRPr="00AE6FAD">
        <w:rPr>
          <w:sz w:val="27"/>
          <w:szCs w:val="27"/>
        </w:rPr>
        <w:t xml:space="preserve"> учебных годов успешно применяла в своей работе проектную, игровую, модульную и технологию развивающего обучения.</w:t>
      </w:r>
      <w:r w:rsidR="00A461E2" w:rsidRPr="00AE6FAD">
        <w:rPr>
          <w:sz w:val="27"/>
          <w:szCs w:val="27"/>
        </w:rPr>
        <w:t xml:space="preserve"> </w:t>
      </w:r>
      <w:r w:rsidR="002252A2" w:rsidRPr="00AE6FAD">
        <w:rPr>
          <w:sz w:val="27"/>
          <w:szCs w:val="27"/>
        </w:rPr>
        <w:t>Учебные занятия</w:t>
      </w:r>
      <w:r w:rsidR="00D642CB" w:rsidRPr="00AE6FAD">
        <w:rPr>
          <w:sz w:val="27"/>
          <w:szCs w:val="27"/>
        </w:rPr>
        <w:t xml:space="preserve"> стро</w:t>
      </w:r>
      <w:r w:rsidRPr="00AE6FAD">
        <w:rPr>
          <w:sz w:val="27"/>
          <w:szCs w:val="27"/>
        </w:rPr>
        <w:t>ю</w:t>
      </w:r>
      <w:r w:rsidR="00D642CB" w:rsidRPr="00AE6FAD">
        <w:rPr>
          <w:sz w:val="27"/>
          <w:szCs w:val="27"/>
        </w:rPr>
        <w:t xml:space="preserve"> на основных положениях этих технологий: дифференцированный подход к </w:t>
      </w:r>
      <w:proofErr w:type="gramStart"/>
      <w:r w:rsidR="00D642CB" w:rsidRPr="00AE6FAD">
        <w:rPr>
          <w:sz w:val="27"/>
          <w:szCs w:val="27"/>
        </w:rPr>
        <w:t>обучающимся</w:t>
      </w:r>
      <w:proofErr w:type="gramEnd"/>
      <w:r w:rsidR="00D642CB" w:rsidRPr="00AE6FAD">
        <w:rPr>
          <w:sz w:val="27"/>
          <w:szCs w:val="27"/>
        </w:rPr>
        <w:t>, использование и</w:t>
      </w:r>
      <w:r w:rsidR="00A461E2" w:rsidRPr="00AE6FAD">
        <w:rPr>
          <w:sz w:val="27"/>
          <w:szCs w:val="27"/>
        </w:rPr>
        <w:t>х индивидуальных возможностей и</w:t>
      </w:r>
      <w:r w:rsidR="00D642CB" w:rsidRPr="00AE6FAD">
        <w:rPr>
          <w:sz w:val="27"/>
          <w:szCs w:val="27"/>
        </w:rPr>
        <w:t xml:space="preserve"> способностей,  личностного практического опыта с целью овладения обучающимися общих </w:t>
      </w:r>
      <w:r w:rsidR="0009115B">
        <w:rPr>
          <w:sz w:val="27"/>
          <w:szCs w:val="27"/>
        </w:rPr>
        <w:t>и профессиональных</w:t>
      </w:r>
      <w:r w:rsidR="00D642CB" w:rsidRPr="00AE6FAD">
        <w:rPr>
          <w:sz w:val="27"/>
          <w:szCs w:val="27"/>
        </w:rPr>
        <w:t>.</w:t>
      </w:r>
    </w:p>
    <w:p w:rsidR="00D642CB" w:rsidRPr="00AE6FAD" w:rsidRDefault="00D642CB" w:rsidP="00A461E2">
      <w:pPr>
        <w:spacing w:before="100" w:beforeAutospacing="1" w:after="100" w:afterAutospacing="1" w:line="360" w:lineRule="auto"/>
        <w:jc w:val="both"/>
        <w:rPr>
          <w:sz w:val="27"/>
          <w:szCs w:val="27"/>
        </w:rPr>
      </w:pPr>
      <w:proofErr w:type="gramStart"/>
      <w:r w:rsidRPr="00AE6FAD">
        <w:rPr>
          <w:b/>
          <w:bCs/>
          <w:color w:val="000000"/>
          <w:sz w:val="27"/>
          <w:szCs w:val="27"/>
        </w:rPr>
        <w:t>Метод проектов</w:t>
      </w:r>
      <w:r w:rsidRPr="00AE6FAD">
        <w:rPr>
          <w:bCs/>
          <w:color w:val="000000"/>
          <w:sz w:val="27"/>
          <w:szCs w:val="27"/>
        </w:rPr>
        <w:t xml:space="preserve"> </w:t>
      </w:r>
      <w:r w:rsidR="00AE6FAD" w:rsidRPr="00AE6FAD">
        <w:rPr>
          <w:bCs/>
          <w:color w:val="000000"/>
          <w:sz w:val="27"/>
          <w:szCs w:val="27"/>
        </w:rPr>
        <w:t xml:space="preserve"> </w:t>
      </w:r>
      <w:r w:rsidRPr="00AE6FAD">
        <w:rPr>
          <w:bCs/>
          <w:color w:val="000000"/>
          <w:sz w:val="27"/>
          <w:szCs w:val="27"/>
        </w:rPr>
        <w:t>ориентирован на самостоятельную деятельность обучающихся.</w:t>
      </w:r>
      <w:proofErr w:type="gramEnd"/>
      <w:r w:rsidRPr="00AE6FAD">
        <w:rPr>
          <w:bCs/>
          <w:color w:val="000000"/>
          <w:sz w:val="27"/>
          <w:szCs w:val="27"/>
        </w:rPr>
        <w:t xml:space="preserve"> </w:t>
      </w:r>
      <w:r w:rsidR="0029756C" w:rsidRPr="00AE6FAD">
        <w:rPr>
          <w:bCs/>
          <w:color w:val="000000"/>
          <w:sz w:val="27"/>
          <w:szCs w:val="27"/>
        </w:rPr>
        <w:t>Практикую</w:t>
      </w:r>
      <w:r w:rsidRPr="00AE6FAD">
        <w:rPr>
          <w:bCs/>
          <w:color w:val="000000"/>
          <w:sz w:val="27"/>
          <w:szCs w:val="27"/>
        </w:rPr>
        <w:t xml:space="preserve"> </w:t>
      </w:r>
      <w:r w:rsidR="00CE602B" w:rsidRPr="00AE6FAD">
        <w:rPr>
          <w:bCs/>
          <w:color w:val="000000"/>
          <w:w w:val="101"/>
          <w:sz w:val="27"/>
          <w:szCs w:val="27"/>
        </w:rPr>
        <w:t xml:space="preserve">проекты, </w:t>
      </w:r>
      <w:r w:rsidRPr="00AE6FAD">
        <w:rPr>
          <w:bCs/>
          <w:color w:val="000000"/>
          <w:w w:val="101"/>
          <w:sz w:val="27"/>
          <w:szCs w:val="27"/>
        </w:rPr>
        <w:t xml:space="preserve">связанные с изучением </w:t>
      </w:r>
      <w:r w:rsidR="00A461E2" w:rsidRPr="00AE6FAD">
        <w:rPr>
          <w:bCs/>
          <w:color w:val="000000"/>
          <w:w w:val="101"/>
          <w:sz w:val="27"/>
          <w:szCs w:val="27"/>
        </w:rPr>
        <w:t xml:space="preserve">технологии выполнения </w:t>
      </w:r>
      <w:r w:rsidR="0009115B">
        <w:rPr>
          <w:bCs/>
          <w:color w:val="000000"/>
          <w:w w:val="101"/>
          <w:sz w:val="27"/>
          <w:szCs w:val="27"/>
        </w:rPr>
        <w:t>авторемонтных работ</w:t>
      </w:r>
      <w:r w:rsidRPr="00AE6FAD">
        <w:rPr>
          <w:bCs/>
          <w:color w:val="000000"/>
          <w:w w:val="101"/>
          <w:sz w:val="27"/>
          <w:szCs w:val="27"/>
        </w:rPr>
        <w:t xml:space="preserve">. В качестве итога диагностики применения данной технологии </w:t>
      </w:r>
      <w:r w:rsidR="00402ACE" w:rsidRPr="00AE6FAD">
        <w:rPr>
          <w:bCs/>
          <w:color w:val="000000"/>
          <w:w w:val="101"/>
          <w:sz w:val="27"/>
          <w:szCs w:val="27"/>
        </w:rPr>
        <w:t xml:space="preserve">- </w:t>
      </w:r>
      <w:r w:rsidRPr="00AE6FAD">
        <w:rPr>
          <w:bCs/>
          <w:color w:val="000000"/>
          <w:w w:val="101"/>
          <w:sz w:val="27"/>
          <w:szCs w:val="27"/>
        </w:rPr>
        <w:t>таблиц</w:t>
      </w:r>
      <w:r w:rsidR="00402ACE" w:rsidRPr="00AE6FAD">
        <w:rPr>
          <w:bCs/>
          <w:color w:val="000000"/>
          <w:w w:val="101"/>
          <w:sz w:val="27"/>
          <w:szCs w:val="27"/>
        </w:rPr>
        <w:t>а</w:t>
      </w:r>
      <w:r w:rsidRPr="00AE6FAD">
        <w:rPr>
          <w:bCs/>
          <w:color w:val="000000"/>
          <w:w w:val="101"/>
          <w:sz w:val="27"/>
          <w:szCs w:val="27"/>
        </w:rPr>
        <w:t xml:space="preserve"> </w:t>
      </w:r>
      <w:r w:rsidRPr="00AE6FAD">
        <w:rPr>
          <w:b/>
          <w:bCs/>
          <w:color w:val="000000"/>
          <w:w w:val="101"/>
          <w:sz w:val="27"/>
          <w:szCs w:val="27"/>
        </w:rPr>
        <w:t>готовности обучающихся работать в группах по созданию учебных проектов</w:t>
      </w:r>
      <w:r w:rsidRPr="00AE6FAD">
        <w:rPr>
          <w:bCs/>
          <w:color w:val="000000"/>
          <w:w w:val="101"/>
          <w:sz w:val="27"/>
          <w:szCs w:val="27"/>
        </w:rPr>
        <w:t>:</w:t>
      </w:r>
    </w:p>
    <w:tbl>
      <w:tblPr>
        <w:tblStyle w:val="a3"/>
        <w:tblW w:w="0" w:type="auto"/>
        <w:jc w:val="center"/>
        <w:shd w:val="clear" w:color="auto" w:fill="FFFFFF" w:themeFill="background1"/>
        <w:tblLook w:val="04A0"/>
      </w:tblPr>
      <w:tblGrid>
        <w:gridCol w:w="4785"/>
        <w:gridCol w:w="4786"/>
      </w:tblGrid>
      <w:tr w:rsidR="00D642CB" w:rsidTr="00AE6FAD">
        <w:trPr>
          <w:jc w:val="center"/>
        </w:trPr>
        <w:tc>
          <w:tcPr>
            <w:tcW w:w="4785" w:type="dxa"/>
            <w:shd w:val="clear" w:color="auto" w:fill="FFFFFF" w:themeFill="background1"/>
          </w:tcPr>
          <w:p w:rsidR="00D642CB" w:rsidRDefault="00D642CB" w:rsidP="002F4235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Уровни готовности</w:t>
            </w:r>
          </w:p>
        </w:tc>
        <w:tc>
          <w:tcPr>
            <w:tcW w:w="4786" w:type="dxa"/>
            <w:shd w:val="clear" w:color="auto" w:fill="FFFFFF" w:themeFill="background1"/>
          </w:tcPr>
          <w:p w:rsidR="00D642CB" w:rsidRDefault="00D642CB" w:rsidP="002F4235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Сумма баллов итогового уровня</w:t>
            </w:r>
          </w:p>
        </w:tc>
      </w:tr>
      <w:tr w:rsidR="00D642CB" w:rsidTr="00AE6FAD">
        <w:trPr>
          <w:jc w:val="center"/>
        </w:trPr>
        <w:tc>
          <w:tcPr>
            <w:tcW w:w="4785" w:type="dxa"/>
            <w:shd w:val="clear" w:color="auto" w:fill="FFFFFF" w:themeFill="background1"/>
          </w:tcPr>
          <w:p w:rsidR="00D642CB" w:rsidRDefault="00D642CB" w:rsidP="002F4235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Очень высокий уровень</w:t>
            </w:r>
          </w:p>
        </w:tc>
        <w:tc>
          <w:tcPr>
            <w:tcW w:w="4786" w:type="dxa"/>
            <w:shd w:val="clear" w:color="auto" w:fill="FFFFFF" w:themeFill="background1"/>
          </w:tcPr>
          <w:p w:rsidR="00D642CB" w:rsidRDefault="00D642CB" w:rsidP="00A461E2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 xml:space="preserve">От </w:t>
            </w:r>
            <w:r w:rsidR="00A461E2">
              <w:rPr>
                <w:bCs/>
                <w:color w:val="000000"/>
                <w:w w:val="101"/>
                <w:sz w:val="28"/>
                <w:szCs w:val="28"/>
              </w:rPr>
              <w:t>1</w:t>
            </w:r>
            <w:r>
              <w:rPr>
                <w:bCs/>
                <w:color w:val="000000"/>
                <w:w w:val="101"/>
                <w:sz w:val="28"/>
                <w:szCs w:val="28"/>
              </w:rPr>
              <w:t xml:space="preserve">% до  </w:t>
            </w:r>
            <w:r w:rsidR="00A461E2">
              <w:rPr>
                <w:b/>
                <w:bCs/>
                <w:color w:val="000000"/>
                <w:w w:val="101"/>
                <w:sz w:val="28"/>
                <w:szCs w:val="28"/>
              </w:rPr>
              <w:t>5</w:t>
            </w:r>
            <w:r w:rsidRPr="003A0431">
              <w:rPr>
                <w:b/>
                <w:bCs/>
                <w:color w:val="000000"/>
                <w:w w:val="101"/>
                <w:sz w:val="28"/>
                <w:szCs w:val="28"/>
              </w:rPr>
              <w:t>%</w:t>
            </w:r>
          </w:p>
        </w:tc>
      </w:tr>
      <w:tr w:rsidR="00D642CB" w:rsidTr="00AE6FAD">
        <w:trPr>
          <w:jc w:val="center"/>
        </w:trPr>
        <w:tc>
          <w:tcPr>
            <w:tcW w:w="4785" w:type="dxa"/>
            <w:shd w:val="clear" w:color="auto" w:fill="FFFFFF" w:themeFill="background1"/>
          </w:tcPr>
          <w:p w:rsidR="00D642CB" w:rsidRDefault="00D642CB" w:rsidP="002F4235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Высокий уровень</w:t>
            </w:r>
          </w:p>
        </w:tc>
        <w:tc>
          <w:tcPr>
            <w:tcW w:w="4786" w:type="dxa"/>
            <w:shd w:val="clear" w:color="auto" w:fill="FFFFFF" w:themeFill="background1"/>
          </w:tcPr>
          <w:p w:rsidR="00D642CB" w:rsidRDefault="00D642CB" w:rsidP="0009115B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 xml:space="preserve">От </w:t>
            </w:r>
            <w:r w:rsidR="00A461E2">
              <w:rPr>
                <w:bCs/>
                <w:color w:val="000000"/>
                <w:w w:val="101"/>
                <w:sz w:val="28"/>
                <w:szCs w:val="28"/>
              </w:rPr>
              <w:t>6</w:t>
            </w:r>
            <w:r>
              <w:rPr>
                <w:bCs/>
                <w:color w:val="000000"/>
                <w:w w:val="101"/>
                <w:sz w:val="28"/>
                <w:szCs w:val="28"/>
              </w:rPr>
              <w:t xml:space="preserve">% до </w:t>
            </w:r>
            <w:r w:rsidRPr="003A0431">
              <w:rPr>
                <w:b/>
                <w:bCs/>
                <w:color w:val="000000"/>
                <w:w w:val="101"/>
                <w:sz w:val="28"/>
                <w:szCs w:val="28"/>
              </w:rPr>
              <w:t>1</w:t>
            </w:r>
            <w:r w:rsidR="0009115B">
              <w:rPr>
                <w:b/>
                <w:bCs/>
                <w:color w:val="000000"/>
                <w:w w:val="101"/>
                <w:sz w:val="28"/>
                <w:szCs w:val="28"/>
              </w:rPr>
              <w:t>4</w:t>
            </w:r>
            <w:r w:rsidRPr="003A0431">
              <w:rPr>
                <w:b/>
                <w:bCs/>
                <w:color w:val="000000"/>
                <w:w w:val="101"/>
                <w:sz w:val="28"/>
                <w:szCs w:val="28"/>
              </w:rPr>
              <w:t>%</w:t>
            </w:r>
          </w:p>
        </w:tc>
      </w:tr>
      <w:tr w:rsidR="00D642CB" w:rsidTr="00AE6FAD">
        <w:trPr>
          <w:jc w:val="center"/>
        </w:trPr>
        <w:tc>
          <w:tcPr>
            <w:tcW w:w="4785" w:type="dxa"/>
            <w:shd w:val="clear" w:color="auto" w:fill="FFFFFF" w:themeFill="background1"/>
          </w:tcPr>
          <w:p w:rsidR="00D642CB" w:rsidRDefault="00D642CB" w:rsidP="002F4235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Нормальный (средний) уровень</w:t>
            </w:r>
          </w:p>
        </w:tc>
        <w:tc>
          <w:tcPr>
            <w:tcW w:w="4786" w:type="dxa"/>
            <w:shd w:val="clear" w:color="auto" w:fill="FFFFFF" w:themeFill="background1"/>
          </w:tcPr>
          <w:p w:rsidR="00D642CB" w:rsidRDefault="00D642CB" w:rsidP="0009115B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От 1</w:t>
            </w:r>
            <w:r w:rsidR="0009115B">
              <w:rPr>
                <w:bCs/>
                <w:color w:val="000000"/>
                <w:w w:val="101"/>
                <w:sz w:val="28"/>
                <w:szCs w:val="28"/>
              </w:rPr>
              <w:t>5</w:t>
            </w:r>
            <w:r>
              <w:rPr>
                <w:bCs/>
                <w:color w:val="000000"/>
                <w:w w:val="101"/>
                <w:sz w:val="28"/>
                <w:szCs w:val="28"/>
              </w:rPr>
              <w:t xml:space="preserve">% до </w:t>
            </w:r>
            <w:r w:rsidRPr="003A0431">
              <w:rPr>
                <w:b/>
                <w:bCs/>
                <w:color w:val="000000"/>
                <w:w w:val="101"/>
                <w:sz w:val="28"/>
                <w:szCs w:val="28"/>
              </w:rPr>
              <w:t>5</w:t>
            </w:r>
            <w:r w:rsidR="0009115B">
              <w:rPr>
                <w:b/>
                <w:bCs/>
                <w:color w:val="000000"/>
                <w:w w:val="101"/>
                <w:sz w:val="28"/>
                <w:szCs w:val="28"/>
              </w:rPr>
              <w:t>9</w:t>
            </w:r>
            <w:r w:rsidRPr="003A0431">
              <w:rPr>
                <w:b/>
                <w:bCs/>
                <w:color w:val="000000"/>
                <w:w w:val="101"/>
                <w:sz w:val="28"/>
                <w:szCs w:val="28"/>
              </w:rPr>
              <w:t>%</w:t>
            </w:r>
          </w:p>
        </w:tc>
      </w:tr>
      <w:tr w:rsidR="00D642CB" w:rsidTr="00AE6FAD">
        <w:trPr>
          <w:jc w:val="center"/>
        </w:trPr>
        <w:tc>
          <w:tcPr>
            <w:tcW w:w="4785" w:type="dxa"/>
            <w:shd w:val="clear" w:color="auto" w:fill="FFFFFF" w:themeFill="background1"/>
          </w:tcPr>
          <w:p w:rsidR="00D642CB" w:rsidRDefault="00D642CB" w:rsidP="002F4235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Сниженный уровень</w:t>
            </w:r>
          </w:p>
        </w:tc>
        <w:tc>
          <w:tcPr>
            <w:tcW w:w="4786" w:type="dxa"/>
            <w:shd w:val="clear" w:color="auto" w:fill="FFFFFF" w:themeFill="background1"/>
          </w:tcPr>
          <w:p w:rsidR="00D642CB" w:rsidRDefault="00D642CB" w:rsidP="0009115B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 xml:space="preserve">От 4% до  </w:t>
            </w:r>
            <w:r w:rsidRPr="003A0431">
              <w:rPr>
                <w:b/>
                <w:bCs/>
                <w:color w:val="000000"/>
                <w:w w:val="101"/>
                <w:sz w:val="28"/>
                <w:szCs w:val="28"/>
              </w:rPr>
              <w:t>1</w:t>
            </w:r>
            <w:r w:rsidR="0009115B">
              <w:rPr>
                <w:b/>
                <w:bCs/>
                <w:color w:val="000000"/>
                <w:w w:val="101"/>
                <w:sz w:val="28"/>
                <w:szCs w:val="28"/>
              </w:rPr>
              <w:t>7</w:t>
            </w:r>
            <w:r w:rsidRPr="003A0431">
              <w:rPr>
                <w:b/>
                <w:bCs/>
                <w:color w:val="000000"/>
                <w:w w:val="101"/>
                <w:sz w:val="28"/>
                <w:szCs w:val="28"/>
              </w:rPr>
              <w:t>%</w:t>
            </w:r>
          </w:p>
        </w:tc>
      </w:tr>
      <w:tr w:rsidR="00D642CB" w:rsidTr="00AE6FAD">
        <w:trPr>
          <w:jc w:val="center"/>
        </w:trPr>
        <w:tc>
          <w:tcPr>
            <w:tcW w:w="4785" w:type="dxa"/>
            <w:shd w:val="clear" w:color="auto" w:fill="FFFFFF" w:themeFill="background1"/>
          </w:tcPr>
          <w:p w:rsidR="00D642CB" w:rsidRDefault="00D642CB" w:rsidP="002F4235">
            <w:pPr>
              <w:spacing w:line="360" w:lineRule="auto"/>
              <w:jc w:val="both"/>
              <w:rPr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>Низкий уровень</w:t>
            </w:r>
          </w:p>
        </w:tc>
        <w:tc>
          <w:tcPr>
            <w:tcW w:w="4786" w:type="dxa"/>
            <w:shd w:val="clear" w:color="auto" w:fill="FFFFFF" w:themeFill="background1"/>
          </w:tcPr>
          <w:p w:rsidR="00D642CB" w:rsidRPr="003A0431" w:rsidRDefault="00D642CB" w:rsidP="0009115B">
            <w:pPr>
              <w:spacing w:line="360" w:lineRule="auto"/>
              <w:jc w:val="both"/>
              <w:rPr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bCs/>
                <w:color w:val="000000"/>
                <w:w w:val="101"/>
                <w:sz w:val="28"/>
                <w:szCs w:val="28"/>
              </w:rPr>
              <w:t xml:space="preserve">                </w:t>
            </w:r>
            <w:r w:rsidR="0009115B">
              <w:rPr>
                <w:b/>
                <w:bCs/>
                <w:color w:val="000000"/>
                <w:w w:val="101"/>
                <w:sz w:val="28"/>
                <w:szCs w:val="28"/>
              </w:rPr>
              <w:t>5</w:t>
            </w:r>
            <w:r w:rsidRPr="003A0431">
              <w:rPr>
                <w:b/>
                <w:bCs/>
                <w:color w:val="000000"/>
                <w:w w:val="101"/>
                <w:sz w:val="28"/>
                <w:szCs w:val="28"/>
              </w:rPr>
              <w:t>%</w:t>
            </w:r>
          </w:p>
        </w:tc>
      </w:tr>
    </w:tbl>
    <w:p w:rsidR="0068795E" w:rsidRDefault="00D642CB" w:rsidP="0009115B">
      <w:pPr>
        <w:jc w:val="both"/>
        <w:rPr>
          <w:bCs/>
          <w:color w:val="000000"/>
          <w:sz w:val="27"/>
          <w:szCs w:val="27"/>
        </w:rPr>
      </w:pPr>
      <w:r w:rsidRPr="00AE6FAD">
        <w:rPr>
          <w:b/>
          <w:bCs/>
          <w:color w:val="000000"/>
          <w:sz w:val="27"/>
          <w:szCs w:val="27"/>
        </w:rPr>
        <w:t>Игровая технология</w:t>
      </w:r>
      <w:r w:rsidRPr="00AE6FAD">
        <w:rPr>
          <w:bCs/>
          <w:color w:val="000000"/>
          <w:sz w:val="27"/>
          <w:szCs w:val="27"/>
        </w:rPr>
        <w:t xml:space="preserve"> особенно необходима на уроках, так как помогает</w:t>
      </w:r>
      <w:r w:rsidR="00CE602B" w:rsidRPr="00AE6FAD">
        <w:rPr>
          <w:bCs/>
          <w:color w:val="000000"/>
          <w:sz w:val="27"/>
          <w:szCs w:val="27"/>
        </w:rPr>
        <w:t xml:space="preserve"> обучающимся </w:t>
      </w:r>
      <w:r w:rsidRPr="00AE6FAD">
        <w:rPr>
          <w:bCs/>
          <w:color w:val="000000"/>
          <w:sz w:val="27"/>
          <w:szCs w:val="27"/>
        </w:rPr>
        <w:t xml:space="preserve"> организовывать собственную деятельность, исходя из цели и способов ее достижения, определенных руководителем.   </w:t>
      </w:r>
      <w:r w:rsidR="006D1EF8" w:rsidRPr="00AE6FAD">
        <w:rPr>
          <w:bCs/>
          <w:color w:val="000000"/>
          <w:sz w:val="27"/>
          <w:szCs w:val="27"/>
        </w:rPr>
        <w:t xml:space="preserve"> </w:t>
      </w:r>
      <w:r w:rsidRPr="00AE6FAD">
        <w:rPr>
          <w:bCs/>
          <w:color w:val="000000"/>
          <w:sz w:val="27"/>
          <w:szCs w:val="27"/>
        </w:rPr>
        <w:t>Диагностика результативности применения игровой технологии ярко видна в следующей диаграмме:</w:t>
      </w:r>
    </w:p>
    <w:p w:rsidR="0009115B" w:rsidRPr="00AE6FAD" w:rsidRDefault="0009115B" w:rsidP="0009115B">
      <w:pPr>
        <w:jc w:val="both"/>
        <w:rPr>
          <w:bCs/>
          <w:color w:val="000000"/>
          <w:sz w:val="27"/>
          <w:szCs w:val="27"/>
        </w:rPr>
      </w:pPr>
    </w:p>
    <w:p w:rsidR="00CE602B" w:rsidRDefault="0068795E" w:rsidP="0009115B">
      <w:pPr>
        <w:jc w:val="center"/>
        <w:rPr>
          <w:bCs/>
          <w:color w:val="000000"/>
          <w:sz w:val="28"/>
          <w:szCs w:val="28"/>
        </w:rPr>
      </w:pPr>
      <w:r w:rsidRPr="0068795E"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57950" cy="3609975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42CB" w:rsidRPr="00AE6FAD" w:rsidRDefault="0068795E" w:rsidP="0009115B">
      <w:pPr>
        <w:tabs>
          <w:tab w:val="left" w:pos="707"/>
        </w:tabs>
        <w:jc w:val="both"/>
        <w:rPr>
          <w:bCs/>
          <w:color w:val="000000"/>
          <w:sz w:val="27"/>
          <w:szCs w:val="27"/>
        </w:rPr>
      </w:pPr>
      <w:r w:rsidRPr="00AE6FAD">
        <w:rPr>
          <w:b/>
          <w:bCs/>
          <w:color w:val="000000"/>
          <w:sz w:val="27"/>
          <w:szCs w:val="27"/>
        </w:rPr>
        <w:t>Обучение, ориентированное на действие</w:t>
      </w:r>
      <w:r w:rsidRPr="00AE6FAD">
        <w:rPr>
          <w:bCs/>
          <w:color w:val="000000"/>
          <w:sz w:val="27"/>
          <w:szCs w:val="27"/>
        </w:rPr>
        <w:t>,</w:t>
      </w:r>
      <w:r w:rsidR="009018B1" w:rsidRPr="00AE6FAD">
        <w:rPr>
          <w:bCs/>
          <w:color w:val="000000"/>
          <w:sz w:val="27"/>
          <w:szCs w:val="27"/>
        </w:rPr>
        <w:t xml:space="preserve">  эффективная технология в </w:t>
      </w:r>
      <w:r w:rsidR="00402ACE" w:rsidRPr="00AE6FAD">
        <w:rPr>
          <w:bCs/>
          <w:color w:val="000000"/>
          <w:sz w:val="27"/>
          <w:szCs w:val="27"/>
        </w:rPr>
        <w:t xml:space="preserve">моей </w:t>
      </w:r>
      <w:r w:rsidR="009018B1" w:rsidRPr="00AE6FAD">
        <w:rPr>
          <w:bCs/>
          <w:color w:val="000000"/>
          <w:sz w:val="27"/>
          <w:szCs w:val="27"/>
        </w:rPr>
        <w:t>работе.</w:t>
      </w:r>
      <w:r w:rsidR="00D642CB" w:rsidRPr="00AE6FAD">
        <w:rPr>
          <w:bCs/>
          <w:color w:val="000000"/>
          <w:sz w:val="27"/>
          <w:szCs w:val="27"/>
        </w:rPr>
        <w:t xml:space="preserve"> </w:t>
      </w:r>
      <w:r w:rsidR="009018B1" w:rsidRPr="00AE6FAD">
        <w:rPr>
          <w:bCs/>
          <w:color w:val="000000"/>
          <w:sz w:val="27"/>
          <w:szCs w:val="27"/>
        </w:rPr>
        <w:t>На уроках применя</w:t>
      </w:r>
      <w:r w:rsidR="00402ACE" w:rsidRPr="00AE6FAD">
        <w:rPr>
          <w:bCs/>
          <w:color w:val="000000"/>
          <w:sz w:val="27"/>
          <w:szCs w:val="27"/>
        </w:rPr>
        <w:t xml:space="preserve">ю </w:t>
      </w:r>
      <w:r w:rsidR="009018B1" w:rsidRPr="00AE6FAD">
        <w:rPr>
          <w:bCs/>
          <w:color w:val="000000"/>
          <w:sz w:val="27"/>
          <w:szCs w:val="27"/>
        </w:rPr>
        <w:t xml:space="preserve"> </w:t>
      </w:r>
      <w:r w:rsidR="009018B1" w:rsidRPr="00AE6FAD">
        <w:rPr>
          <w:b/>
          <w:bCs/>
          <w:sz w:val="27"/>
          <w:szCs w:val="27"/>
        </w:rPr>
        <w:t xml:space="preserve">метод </w:t>
      </w:r>
      <w:r w:rsidR="009018B1" w:rsidRPr="00AE6FAD">
        <w:rPr>
          <w:b/>
          <w:bCs/>
          <w:color w:val="000000"/>
          <w:sz w:val="27"/>
          <w:szCs w:val="27"/>
        </w:rPr>
        <w:t>кейсов</w:t>
      </w:r>
      <w:r w:rsidR="009018B1" w:rsidRPr="00AE6FAD">
        <w:rPr>
          <w:bCs/>
          <w:color w:val="000000"/>
          <w:sz w:val="27"/>
          <w:szCs w:val="27"/>
        </w:rPr>
        <w:t xml:space="preserve">, который позволяет на практике </w:t>
      </w:r>
      <w:r w:rsidR="008F7911" w:rsidRPr="00AE6FAD">
        <w:rPr>
          <w:bCs/>
          <w:color w:val="000000"/>
          <w:sz w:val="27"/>
          <w:szCs w:val="27"/>
        </w:rPr>
        <w:t>воплощать творческие идеи обучающихся.</w:t>
      </w:r>
    </w:p>
    <w:p w:rsidR="008B4483" w:rsidRPr="008F7911" w:rsidRDefault="00414634" w:rsidP="007E43BB">
      <w:pPr>
        <w:tabs>
          <w:tab w:val="left" w:pos="707"/>
        </w:tabs>
        <w:spacing w:before="100" w:beforeAutospacing="1" w:after="100" w:afterAutospacing="1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933950" cy="2695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2ACE" w:rsidRDefault="00D642CB" w:rsidP="0009115B">
      <w:pPr>
        <w:jc w:val="both"/>
        <w:rPr>
          <w:color w:val="000000"/>
          <w:sz w:val="27"/>
          <w:szCs w:val="27"/>
        </w:rPr>
      </w:pPr>
      <w:r w:rsidRPr="00AE6FAD">
        <w:rPr>
          <w:b/>
          <w:bCs/>
          <w:color w:val="000000"/>
          <w:sz w:val="27"/>
          <w:szCs w:val="27"/>
        </w:rPr>
        <w:t>Технология развивающего обучения</w:t>
      </w:r>
      <w:r w:rsidRPr="00AE6FAD">
        <w:rPr>
          <w:bCs/>
          <w:color w:val="000000"/>
          <w:sz w:val="27"/>
          <w:szCs w:val="27"/>
        </w:rPr>
        <w:t xml:space="preserve"> представлена в практике </w:t>
      </w:r>
      <w:r w:rsidR="00402ACE" w:rsidRPr="00AE6FAD">
        <w:rPr>
          <w:bCs/>
          <w:color w:val="000000"/>
          <w:sz w:val="27"/>
          <w:szCs w:val="27"/>
        </w:rPr>
        <w:t>мо</w:t>
      </w:r>
      <w:r w:rsidR="00244E13" w:rsidRPr="00AE6FAD">
        <w:rPr>
          <w:bCs/>
          <w:color w:val="000000"/>
          <w:sz w:val="27"/>
          <w:szCs w:val="27"/>
        </w:rPr>
        <w:t xml:space="preserve">ей </w:t>
      </w:r>
      <w:r w:rsidRPr="00AE6FAD">
        <w:rPr>
          <w:bCs/>
          <w:color w:val="000000"/>
          <w:sz w:val="27"/>
          <w:szCs w:val="27"/>
        </w:rPr>
        <w:t xml:space="preserve">работы в виде обучающих кластеров. </w:t>
      </w:r>
      <w:r w:rsidRPr="00AE6FAD">
        <w:rPr>
          <w:b/>
          <w:color w:val="000000"/>
          <w:sz w:val="27"/>
          <w:szCs w:val="27"/>
        </w:rPr>
        <w:t>Кластер</w:t>
      </w:r>
      <w:r w:rsidRPr="00AE6FAD">
        <w:rPr>
          <w:color w:val="000000"/>
          <w:sz w:val="27"/>
          <w:szCs w:val="27"/>
        </w:rPr>
        <w:t xml:space="preserve"> (как и все графические схемы) является моделью изучаемой темы, позволяет увидеть её целиком. Повышается мотивация, т.к. легче воспринимаются идеи изучаемой темы. Представление информации </w:t>
      </w:r>
      <w:proofErr w:type="gramStart"/>
      <w:r w:rsidRPr="00AE6FAD">
        <w:rPr>
          <w:color w:val="000000"/>
          <w:sz w:val="27"/>
          <w:szCs w:val="27"/>
        </w:rPr>
        <w:t>обучающимся</w:t>
      </w:r>
      <w:proofErr w:type="gramEnd"/>
      <w:r w:rsidRPr="00AE6FAD">
        <w:rPr>
          <w:color w:val="000000"/>
          <w:sz w:val="27"/>
          <w:szCs w:val="27"/>
        </w:rPr>
        <w:t xml:space="preserve"> в виде кластера способствует их творческой переработке, поэтому обеспечивает усвоение информации на уровне понимания</w:t>
      </w:r>
      <w:r w:rsidR="00F73D5C" w:rsidRPr="00AE6FAD">
        <w:rPr>
          <w:color w:val="000000"/>
          <w:sz w:val="27"/>
          <w:szCs w:val="27"/>
        </w:rPr>
        <w:t xml:space="preserve"> и практического применения</w:t>
      </w:r>
      <w:r w:rsidRPr="00AE6FAD">
        <w:rPr>
          <w:color w:val="000000"/>
          <w:sz w:val="27"/>
          <w:szCs w:val="27"/>
        </w:rPr>
        <w:t xml:space="preserve">. </w:t>
      </w:r>
    </w:p>
    <w:p w:rsidR="0009115B" w:rsidRPr="00AE6FAD" w:rsidRDefault="0009115B" w:rsidP="0009115B">
      <w:pPr>
        <w:jc w:val="both"/>
        <w:rPr>
          <w:color w:val="000000"/>
          <w:sz w:val="27"/>
          <w:szCs w:val="27"/>
        </w:rPr>
      </w:pPr>
    </w:p>
    <w:p w:rsidR="008038D4" w:rsidRPr="0009115B" w:rsidRDefault="000F5EA1" w:rsidP="0009115B">
      <w:pPr>
        <w:jc w:val="center"/>
        <w:rPr>
          <w:b/>
          <w:color w:val="000000"/>
        </w:rPr>
      </w:pPr>
      <w:r w:rsidRPr="0009115B">
        <w:rPr>
          <w:b/>
          <w:color w:val="000000"/>
        </w:rPr>
        <w:lastRenderedPageBreak/>
        <w:t xml:space="preserve">Сравнительная диаграмма </w:t>
      </w:r>
      <w:r w:rsidR="00C36738" w:rsidRPr="0009115B">
        <w:rPr>
          <w:b/>
          <w:color w:val="000000"/>
        </w:rPr>
        <w:t xml:space="preserve">обучения </w:t>
      </w:r>
      <w:r w:rsidRPr="0009115B">
        <w:rPr>
          <w:b/>
          <w:color w:val="000000"/>
        </w:rPr>
        <w:t xml:space="preserve">посредством кластеров </w:t>
      </w:r>
    </w:p>
    <w:p w:rsidR="000F5EA1" w:rsidRPr="0009115B" w:rsidRDefault="000F5EA1" w:rsidP="000F5EA1">
      <w:pPr>
        <w:spacing w:line="240" w:lineRule="atLeast"/>
        <w:jc w:val="center"/>
        <w:rPr>
          <w:b/>
          <w:color w:val="000000"/>
        </w:rPr>
      </w:pPr>
      <w:r w:rsidRPr="0009115B">
        <w:rPr>
          <w:b/>
          <w:color w:val="000000"/>
        </w:rPr>
        <w:t>и традиционным методом</w:t>
      </w:r>
    </w:p>
    <w:p w:rsidR="00B40103" w:rsidRPr="000F5EA1" w:rsidRDefault="00B40103" w:rsidP="00C36738">
      <w:pPr>
        <w:spacing w:before="100" w:beforeAutospacing="1" w:after="100" w:afterAutospacing="1" w:line="360" w:lineRule="auto"/>
        <w:ind w:left="12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33950" cy="330517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E13" w:rsidRDefault="00D642CB" w:rsidP="00AE6FAD">
      <w:pPr>
        <w:spacing w:line="360" w:lineRule="auto"/>
        <w:jc w:val="both"/>
        <w:rPr>
          <w:sz w:val="27"/>
          <w:szCs w:val="27"/>
        </w:rPr>
      </w:pPr>
      <w:r w:rsidRPr="00AE6FAD">
        <w:rPr>
          <w:sz w:val="27"/>
          <w:szCs w:val="27"/>
        </w:rPr>
        <w:t xml:space="preserve">Показатели обученности  обучающихся позволяют сделать вывод о том, что вышеперечисленные технологии являются  наиболее эффективными: </w:t>
      </w:r>
      <w:r w:rsidR="000F5EA1" w:rsidRPr="00AE6FAD">
        <w:rPr>
          <w:sz w:val="27"/>
          <w:szCs w:val="27"/>
        </w:rPr>
        <w:t>100</w:t>
      </w:r>
      <w:r w:rsidRPr="00AE6FAD">
        <w:rPr>
          <w:sz w:val="27"/>
          <w:szCs w:val="27"/>
        </w:rPr>
        <w:t xml:space="preserve">% успеваемость, качество знаний составляет  в среднем </w:t>
      </w:r>
      <w:r w:rsidR="0009115B">
        <w:rPr>
          <w:sz w:val="27"/>
          <w:szCs w:val="27"/>
        </w:rPr>
        <w:t>7</w:t>
      </w:r>
      <w:r w:rsidR="00C36738" w:rsidRPr="00A46767">
        <w:rPr>
          <w:sz w:val="27"/>
          <w:szCs w:val="27"/>
        </w:rPr>
        <w:t>6</w:t>
      </w:r>
      <w:r w:rsidR="0009115B">
        <w:rPr>
          <w:sz w:val="27"/>
          <w:szCs w:val="27"/>
        </w:rPr>
        <w:t>,3</w:t>
      </w:r>
      <w:r w:rsidR="000F5EA1" w:rsidRPr="00AE6FAD">
        <w:rPr>
          <w:color w:val="000000" w:themeColor="text1"/>
          <w:sz w:val="27"/>
          <w:szCs w:val="27"/>
        </w:rPr>
        <w:t xml:space="preserve"> </w:t>
      </w:r>
      <w:r w:rsidRPr="00AE6FAD">
        <w:rPr>
          <w:sz w:val="27"/>
          <w:szCs w:val="27"/>
        </w:rPr>
        <w:t xml:space="preserve">% , а </w:t>
      </w:r>
      <w:r w:rsidR="00A46767">
        <w:rPr>
          <w:sz w:val="27"/>
          <w:szCs w:val="27"/>
        </w:rPr>
        <w:t>средний балл</w:t>
      </w:r>
      <w:r w:rsidRPr="00AE6FAD">
        <w:rPr>
          <w:sz w:val="27"/>
          <w:szCs w:val="27"/>
        </w:rPr>
        <w:t xml:space="preserve"> – </w:t>
      </w:r>
      <w:r w:rsidR="00A46767" w:rsidRPr="00A46767">
        <w:rPr>
          <w:sz w:val="27"/>
          <w:szCs w:val="27"/>
        </w:rPr>
        <w:t>4</w:t>
      </w:r>
      <w:r w:rsidR="00C36738" w:rsidRPr="00A46767">
        <w:rPr>
          <w:sz w:val="27"/>
          <w:szCs w:val="27"/>
        </w:rPr>
        <w:t>,</w:t>
      </w:r>
      <w:r w:rsidR="0009115B">
        <w:rPr>
          <w:sz w:val="27"/>
          <w:szCs w:val="27"/>
        </w:rPr>
        <w:t>0</w:t>
      </w:r>
      <w:r w:rsidRPr="00AE6FAD">
        <w:rPr>
          <w:sz w:val="27"/>
          <w:szCs w:val="27"/>
        </w:rPr>
        <w:t>.</w:t>
      </w:r>
    </w:p>
    <w:p w:rsidR="00AE6FAD" w:rsidRDefault="00AE6FAD" w:rsidP="00AE6FAD">
      <w:pPr>
        <w:spacing w:line="360" w:lineRule="auto"/>
        <w:jc w:val="both"/>
        <w:rPr>
          <w:sz w:val="28"/>
          <w:szCs w:val="28"/>
        </w:rPr>
      </w:pPr>
    </w:p>
    <w:p w:rsidR="00A46767" w:rsidRDefault="00A46767" w:rsidP="00AE6FAD">
      <w:pPr>
        <w:spacing w:line="360" w:lineRule="auto"/>
        <w:jc w:val="both"/>
        <w:rPr>
          <w:sz w:val="28"/>
          <w:szCs w:val="28"/>
        </w:rPr>
      </w:pPr>
    </w:p>
    <w:p w:rsidR="0009115B" w:rsidRDefault="0009115B" w:rsidP="00AE6FAD">
      <w:pPr>
        <w:spacing w:line="360" w:lineRule="auto"/>
        <w:jc w:val="both"/>
        <w:rPr>
          <w:sz w:val="28"/>
          <w:szCs w:val="28"/>
        </w:rPr>
      </w:pPr>
    </w:p>
    <w:p w:rsidR="0009115B" w:rsidRDefault="0009115B" w:rsidP="00AE6FAD">
      <w:pPr>
        <w:spacing w:line="360" w:lineRule="auto"/>
        <w:jc w:val="both"/>
        <w:rPr>
          <w:sz w:val="28"/>
          <w:szCs w:val="28"/>
        </w:rPr>
      </w:pPr>
    </w:p>
    <w:p w:rsidR="00C36738" w:rsidRDefault="00AE6FAD" w:rsidP="00AE6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Директор ГАПОУ </w:t>
      </w:r>
      <w:proofErr w:type="gramStart"/>
      <w:r>
        <w:rPr>
          <w:sz w:val="28"/>
          <w:szCs w:val="28"/>
        </w:rPr>
        <w:t>СО</w:t>
      </w:r>
      <w:proofErr w:type="gramEnd"/>
    </w:p>
    <w:p w:rsidR="00AE6FAD" w:rsidRDefault="00AE6FAD" w:rsidP="00AE6FAD">
      <w:pPr>
        <w:rPr>
          <w:sz w:val="28"/>
          <w:szCs w:val="28"/>
        </w:rPr>
      </w:pPr>
      <w:r>
        <w:rPr>
          <w:sz w:val="28"/>
          <w:szCs w:val="28"/>
        </w:rPr>
        <w:t xml:space="preserve">             «</w:t>
      </w: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политехникум»                                              Лепехин</w:t>
      </w:r>
      <w:r w:rsidR="0009115B" w:rsidRPr="0009115B">
        <w:rPr>
          <w:sz w:val="28"/>
          <w:szCs w:val="28"/>
        </w:rPr>
        <w:t xml:space="preserve"> </w:t>
      </w:r>
      <w:r w:rsidR="0009115B">
        <w:rPr>
          <w:sz w:val="28"/>
          <w:szCs w:val="28"/>
        </w:rPr>
        <w:t>В.И.</w:t>
      </w:r>
    </w:p>
    <w:p w:rsidR="00AE6FAD" w:rsidRDefault="00AE6FAD" w:rsidP="00AE6FAD">
      <w:pPr>
        <w:rPr>
          <w:sz w:val="28"/>
          <w:szCs w:val="28"/>
        </w:rPr>
      </w:pPr>
    </w:p>
    <w:p w:rsidR="00D642CB" w:rsidRPr="00244E13" w:rsidRDefault="00AE6FAD" w:rsidP="00AE6FAD">
      <w:r>
        <w:rPr>
          <w:sz w:val="28"/>
          <w:szCs w:val="28"/>
        </w:rPr>
        <w:t xml:space="preserve">           </w:t>
      </w:r>
      <w:r w:rsidR="00A46767">
        <w:rPr>
          <w:sz w:val="28"/>
          <w:szCs w:val="28"/>
        </w:rPr>
        <w:t xml:space="preserve"> </w:t>
      </w:r>
      <w:r w:rsidR="00091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115B">
        <w:rPr>
          <w:sz w:val="28"/>
          <w:szCs w:val="28"/>
        </w:rPr>
        <w:t xml:space="preserve">Преподаватель                                     </w:t>
      </w:r>
      <w:r>
        <w:rPr>
          <w:sz w:val="28"/>
          <w:szCs w:val="28"/>
        </w:rPr>
        <w:t xml:space="preserve">          </w:t>
      </w:r>
      <w:r w:rsidR="00402A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402ACE">
        <w:rPr>
          <w:sz w:val="28"/>
          <w:szCs w:val="28"/>
        </w:rPr>
        <w:t xml:space="preserve">      </w:t>
      </w:r>
      <w:r w:rsidR="0009115B">
        <w:rPr>
          <w:sz w:val="28"/>
          <w:szCs w:val="28"/>
        </w:rPr>
        <w:t>Ткачева Т.Ю.</w:t>
      </w:r>
    </w:p>
    <w:sectPr w:rsidR="00D642CB" w:rsidRPr="00244E13" w:rsidSect="00A46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8C3"/>
    <w:multiLevelType w:val="hybridMultilevel"/>
    <w:tmpl w:val="28DE2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63B"/>
    <w:multiLevelType w:val="hybridMultilevel"/>
    <w:tmpl w:val="7CA4025C"/>
    <w:lvl w:ilvl="0" w:tplc="2B96861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8C2196"/>
    <w:multiLevelType w:val="hybridMultilevel"/>
    <w:tmpl w:val="7B14423E"/>
    <w:lvl w:ilvl="0" w:tplc="D842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A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4EC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4A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A35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A1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0E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12FB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B45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42CB"/>
    <w:rsid w:val="000616DF"/>
    <w:rsid w:val="0009115B"/>
    <w:rsid w:val="000A201C"/>
    <w:rsid w:val="000B6E96"/>
    <w:rsid w:val="000F5EA1"/>
    <w:rsid w:val="00132A6A"/>
    <w:rsid w:val="00166729"/>
    <w:rsid w:val="001C4012"/>
    <w:rsid w:val="002252A2"/>
    <w:rsid w:val="00244E13"/>
    <w:rsid w:val="00291EFA"/>
    <w:rsid w:val="0029756C"/>
    <w:rsid w:val="00305CFD"/>
    <w:rsid w:val="00364F9B"/>
    <w:rsid w:val="003B077F"/>
    <w:rsid w:val="003F6A24"/>
    <w:rsid w:val="00402ACE"/>
    <w:rsid w:val="00414634"/>
    <w:rsid w:val="00423C03"/>
    <w:rsid w:val="00490B64"/>
    <w:rsid w:val="004F4A31"/>
    <w:rsid w:val="00501090"/>
    <w:rsid w:val="00543158"/>
    <w:rsid w:val="00546AEF"/>
    <w:rsid w:val="005564EE"/>
    <w:rsid w:val="005713CE"/>
    <w:rsid w:val="00582A52"/>
    <w:rsid w:val="00667C72"/>
    <w:rsid w:val="0068795E"/>
    <w:rsid w:val="006C22CD"/>
    <w:rsid w:val="006C6C84"/>
    <w:rsid w:val="006D1EF8"/>
    <w:rsid w:val="006E7923"/>
    <w:rsid w:val="007068C0"/>
    <w:rsid w:val="007315CE"/>
    <w:rsid w:val="007463CA"/>
    <w:rsid w:val="007530A6"/>
    <w:rsid w:val="00792F30"/>
    <w:rsid w:val="007B706D"/>
    <w:rsid w:val="007D34DF"/>
    <w:rsid w:val="007E43BB"/>
    <w:rsid w:val="008038D4"/>
    <w:rsid w:val="008B4483"/>
    <w:rsid w:val="008D2BC2"/>
    <w:rsid w:val="008F079F"/>
    <w:rsid w:val="008F7911"/>
    <w:rsid w:val="009018B1"/>
    <w:rsid w:val="00927D49"/>
    <w:rsid w:val="009376C2"/>
    <w:rsid w:val="00962334"/>
    <w:rsid w:val="009854F2"/>
    <w:rsid w:val="00990E7A"/>
    <w:rsid w:val="009D1B27"/>
    <w:rsid w:val="00A461E2"/>
    <w:rsid w:val="00A46767"/>
    <w:rsid w:val="00A6559B"/>
    <w:rsid w:val="00A73291"/>
    <w:rsid w:val="00A941FB"/>
    <w:rsid w:val="00AC1BF6"/>
    <w:rsid w:val="00AE6FAD"/>
    <w:rsid w:val="00B03543"/>
    <w:rsid w:val="00B40103"/>
    <w:rsid w:val="00B617FF"/>
    <w:rsid w:val="00C172D7"/>
    <w:rsid w:val="00C36738"/>
    <w:rsid w:val="00C67E36"/>
    <w:rsid w:val="00CE602B"/>
    <w:rsid w:val="00D642CB"/>
    <w:rsid w:val="00DA6B7C"/>
    <w:rsid w:val="00E341C8"/>
    <w:rsid w:val="00E47EB4"/>
    <w:rsid w:val="00E5018C"/>
    <w:rsid w:val="00E83401"/>
    <w:rsid w:val="00E87659"/>
    <w:rsid w:val="00EB4292"/>
    <w:rsid w:val="00EC1DC0"/>
    <w:rsid w:val="00EC2DFD"/>
    <w:rsid w:val="00EE3618"/>
    <w:rsid w:val="00EF3456"/>
    <w:rsid w:val="00F7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8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1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704">
          <w:marLeft w:val="54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 результативности применения игровой технологии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241605241605242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"/>
                  <c:y val="-0.1517946994430574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0343127840727338E-3"/>
                  <c:y val="-0.2128903399270215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8.4720202657594723E-2"/>
                  <c:y val="-0.3237750464118814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17</c:v>
                </c:pt>
                <c:pt idx="2">
                  <c:v>25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Столбец9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Столбец10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Лист1!$L$2:$L$5</c:f>
              <c:numCache>
                <c:formatCode>General</c:formatCode>
                <c:ptCount val="4"/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 воспринимает информацию, не реагирует на события 2%</c:v>
                </c:pt>
                <c:pt idx="1">
                  <c:v>            Воспринимает и усваивает событийную информацию на уровне пассивного включения 17%                                        </c:v>
                </c:pt>
                <c:pt idx="2">
                  <c:v>Действует сообразно с событиями  25%</c:v>
                </c:pt>
                <c:pt idx="3">
                  <c:v>Усваивает и перерабатывает информацию; ищет новые каналы получения и обработки информации, прогнозирует развитие событий 66%</c:v>
                </c:pt>
              </c:strCache>
            </c:strRef>
          </c:cat>
          <c:val>
            <c:numRef>
              <c:f>Лист1!$M$2:$M$5</c:f>
              <c:numCache>
                <c:formatCode>General</c:formatCode>
                <c:ptCount val="4"/>
              </c:numCache>
            </c:numRef>
          </c:val>
        </c:ser>
        <c:gapWidth val="100"/>
        <c:overlap val="100"/>
        <c:axId val="90342912"/>
        <c:axId val="90344448"/>
      </c:barChart>
      <c:catAx>
        <c:axId val="903429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90344448"/>
        <c:crosses val="autoZero"/>
        <c:auto val="1"/>
        <c:lblAlgn val="ctr"/>
        <c:lblOffset val="100"/>
      </c:catAx>
      <c:valAx>
        <c:axId val="90344448"/>
        <c:scaling>
          <c:orientation val="minMax"/>
        </c:scaling>
        <c:axPos val="l"/>
        <c:majorGridlines/>
        <c:numFmt formatCode="General" sourceLinked="1"/>
        <c:tickLblPos val="nextTo"/>
        <c:crossAx val="903429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title>
      <c:tx>
        <c:rich>
          <a:bodyPr/>
          <a:lstStyle/>
          <a:p>
            <a:pPr>
              <a:defRPr/>
            </a:pPr>
            <a:r>
              <a:rPr lang="ru-RU" sz="1400"/>
              <a:t>Диагностика применения кейс метода</a:t>
            </a:r>
            <a:endParaRPr lang="en-US" sz="1400"/>
          </a:p>
        </c:rich>
      </c:tx>
      <c:layout>
        <c:manualLayout>
          <c:xMode val="edge"/>
          <c:yMode val="edge"/>
          <c:x val="0.15363425925925925"/>
          <c:y val="2.3809523809523812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0.11299280719681032"/>
                  <c:y val="-0.10984848484848486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67</a:t>
                    </a:r>
                    <a:r>
                      <a:rPr lang="ru-RU" b="1"/>
                      <a:t>% Знания о профессии </a:t>
                    </a:r>
                    <a:endParaRPr lang="en-US" b="1"/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</c:dLbl>
            <c:dLbl>
              <c:idx val="1"/>
              <c:layout>
                <c:manualLayout>
                  <c:x val="0.13726203143526006"/>
                  <c:y val="-6.818174229988036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000" b="1"/>
                      <a:t>48</a:t>
                    </a:r>
                    <a:r>
                      <a:rPr lang="ru-RU" sz="1000" b="1"/>
                      <a:t>% Умение выбирать деталь</a:t>
                    </a:r>
                    <a:endParaRPr lang="en-US" sz="1000" b="1"/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</c:dLbl>
            <c:dLbl>
              <c:idx val="2"/>
              <c:layout>
                <c:manualLayout>
                  <c:x val="0.18111390274688946"/>
                  <c:y val="9.469696969697032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</a:t>
                    </a:r>
                    <a:r>
                      <a:rPr lang="en-US" b="1"/>
                      <a:t>3</a:t>
                    </a:r>
                    <a:r>
                      <a:rPr lang="ru-RU" b="1"/>
                      <a:t>% Умение применять технологию авторемонтных работ </a:t>
                    </a:r>
                    <a:endParaRPr lang="en-US" b="1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</c:dLbl>
            <c:dLbl>
              <c:idx val="3"/>
              <c:layout>
                <c:manualLayout>
                  <c:x val="-0.17534713566209681"/>
                  <c:y val="1.8939558350259327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87</a:t>
                    </a:r>
                    <a:r>
                      <a:rPr lang="ru-RU" b="1"/>
                      <a:t>%  Знание профтерминов</a:t>
                    </a:r>
                    <a:endParaRPr lang="en-US" b="1"/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</c:dLbl>
            <c:dLbl>
              <c:idx val="4"/>
              <c:layout>
                <c:manualLayout>
                  <c:x val="-0.13059070318912841"/>
                  <c:y val="-0.13349916066145473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 sz="1000" b="1"/>
                      <a:t>91</a:t>
                    </a:r>
                    <a:r>
                      <a:rPr lang="ru-RU" sz="1000" b="1"/>
                      <a:t>% Знания по материаловедению</a:t>
                    </a:r>
                    <a:endParaRPr lang="en-US" sz="1000" b="1"/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</c:dLbl>
            <c:showLegendKey val="1"/>
            <c:showVal val="1"/>
            <c:showCatName val="1"/>
            <c:showSerName val="1"/>
            <c:showPercent val="1"/>
          </c:dLbls>
          <c:cat>
            <c:strRef>
              <c:f>Лист1!$A$2:$A$6</c:f>
              <c:strCache>
                <c:ptCount val="5"/>
                <c:pt idx="0">
                  <c:v>Знание о профессии на немецком языке</c:v>
                </c:pt>
                <c:pt idx="1">
                  <c:v>Знание грамматики</c:v>
                </c:pt>
                <c:pt idx="2">
                  <c:v>Знание произведений классической немецкой литературы</c:v>
                </c:pt>
                <c:pt idx="3">
                  <c:v>Знание профтерминов</c:v>
                </c:pt>
                <c:pt idx="4">
                  <c:v>Знания по страноведению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48</c:v>
                </c:pt>
                <c:pt idx="2">
                  <c:v>43</c:v>
                </c:pt>
                <c:pt idx="3">
                  <c:v>87</c:v>
                </c:pt>
                <c:pt idx="4">
                  <c:v>91</c:v>
                </c:pt>
              </c:numCache>
            </c:numRef>
          </c:val>
          <c:bubble3D val="1"/>
        </c:ser>
        <c:firstSliceAng val="0"/>
        <c:holeSize val="50"/>
      </c:doughnut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3"/>
  <c:chart>
    <c:plotArea>
      <c:layout>
        <c:manualLayout>
          <c:layoutTarget val="inner"/>
          <c:xMode val="edge"/>
          <c:yMode val="edge"/>
          <c:x val="6.860145086030911E-2"/>
          <c:y val="8.2152912704093847E-2"/>
          <c:w val="0.63219706911636053"/>
          <c:h val="0.7065695878924179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Освоение технологий</c:v>
                </c:pt>
              </c:strCache>
            </c:strRef>
          </c:tx>
          <c:dLbls>
            <c:dLbl>
              <c:idx val="0"/>
              <c:layout>
                <c:manualLayout>
                  <c:x val="2.0668682691712646E-17"/>
                  <c:y val="-3.1168831168831103E-2"/>
                </c:manualLayout>
              </c:layout>
              <c:showVal val="1"/>
            </c:dLbl>
            <c:dLbl>
              <c:idx val="1"/>
              <c:layout>
                <c:manualLayout>
                  <c:x val="-1.1273957158962761E-2"/>
                  <c:y val="-2.0779220779220942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Метод кластеров</c:v>
                </c:pt>
                <c:pt idx="1">
                  <c:v>Традиционный метод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0.89</c:v>
                </c:pt>
                <c:pt idx="1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Освоение терминологии</c:v>
                </c:pt>
              </c:strCache>
            </c:strRef>
          </c:tx>
          <c:dLbls>
            <c:dLbl>
              <c:idx val="0"/>
              <c:layout>
                <c:manualLayout>
                  <c:x val="-1.57835400225479E-2"/>
                  <c:y val="-4.1558441558441593E-2"/>
                </c:manualLayout>
              </c:layout>
              <c:showVal val="1"/>
            </c:dLbl>
            <c:dLbl>
              <c:idx val="1"/>
              <c:layout>
                <c:manualLayout>
                  <c:x val="-2.7057497181510858E-2"/>
                  <c:y val="-4.155844155844159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Метод кластеров</c:v>
                </c:pt>
                <c:pt idx="1">
                  <c:v>Традиционный метод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0.92</c:v>
                </c:pt>
                <c:pt idx="1">
                  <c:v>0.49000000000000032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Освоение знаний материалов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Метод кластеров</c:v>
                </c:pt>
                <c:pt idx="1">
                  <c:v>Традиционный метод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0.97000000000000064</c:v>
                </c:pt>
                <c:pt idx="1">
                  <c:v>0.78</c:v>
                </c:pt>
              </c:numCache>
            </c:numRef>
          </c:val>
        </c:ser>
        <c:marker val="1"/>
        <c:axId val="121430016"/>
        <c:axId val="121431552"/>
      </c:lineChart>
      <c:catAx>
        <c:axId val="1214300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1431552"/>
        <c:crosses val="autoZero"/>
        <c:auto val="1"/>
        <c:lblAlgn val="ctr"/>
        <c:lblOffset val="100"/>
      </c:catAx>
      <c:valAx>
        <c:axId val="121431552"/>
        <c:scaling>
          <c:orientation val="minMax"/>
        </c:scaling>
        <c:delete val="1"/>
        <c:axPos val="l"/>
        <c:majorGridlines/>
        <c:numFmt formatCode="0%" sourceLinked="1"/>
        <c:tickLblPos val="nextTo"/>
        <c:crossAx val="12143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55145629344698"/>
          <c:y val="0.28138746293077238"/>
          <c:w val="0.26844854370655752"/>
          <c:h val="0.48743279817295793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06DA-879C-4F0E-9E75-95750A41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Энгельский политехникум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татьяна</cp:lastModifiedBy>
  <cp:revision>3</cp:revision>
  <cp:lastPrinted>2020-09-16T19:17:00Z</cp:lastPrinted>
  <dcterms:created xsi:type="dcterms:W3CDTF">2020-09-30T18:35:00Z</dcterms:created>
  <dcterms:modified xsi:type="dcterms:W3CDTF">2020-09-30T18:38:00Z</dcterms:modified>
</cp:coreProperties>
</file>